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19: BIDDERS' LIBRARY</w:t>
      </w:r>
    </w:p>
    <w:p w14:paraId="0000000B">
      <w:pPr>
        <w:spacing w:line="360"/>
      </w:pPr>
      <w:r>
        <w:t xml:space="preserve">Throughout the solicitation, the State will make available a Bidders' Library containing reference and supporting documentation that the Bidder may review and use to prepare </w:t>
      </w:r>
      <w:r>
        <w:rPr>
          <w:shd w:val="clear" w:fill="FFFFFF"/>
        </w:rPr>
        <w:t>their proposals</w:t>
      </w:r>
      <w:r>
        <w:t xml:space="preserve">. The Bidders’ Library URL will be provided to the Bidder's contact after the </w:t>
      </w:r>
      <w:hyperlink r:id="rId3">
        <w:r>
          <w:rPr>
            <w:rStyle w:val="Hyperlink"/>
          </w:rPr>
          <w:t>ATTACHMENT 5: CONFIDENTIALITY STATEMENT</w:t>
        </w:r>
      </w:hyperlink>
      <w:r>
        <w:t xml:space="preserve"> is signed and returned to the Procurement Officer.</w:t>
      </w:r>
    </w:p>
    <w:p w14:paraId="0000000C">
      <w:pPr>
        <w:spacing w:line="360"/>
      </w:pPr>
      <w:r>
        <w:t>The Bidder is encouraged to review the information in the Bidders’ Library to gain a thorough understanding of the CDPH CAB Online RFP</w:t>
      </w:r>
      <w:r>
        <w:rPr>
          <w:i w:val="1"/>
        </w:rPr>
        <w:t>.</w:t>
      </w:r>
      <w:r>
        <w:t xml:space="preserve"> It is each Bidder’s responsibility to check for updates to the Bidders’ Library.</w:t>
      </w:r>
    </w:p>
    <w:p w14:paraId="0000000D">
      <w:pPr>
        <w:spacing w:line="360"/>
      </w:pPr>
      <w:r>
        <w:t>Items in the Bidder's Library may be updated at any time without the issuance of an addendum to this Solicitation.</w:t>
      </w: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2" TargetMode="External" /><Relationship Id="rId4" Type="http://schemas.openxmlformats.org/officeDocument/2006/relationships/styles" Target="/word/styles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